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8A" w:rsidRPr="0083798A" w:rsidRDefault="0083798A" w:rsidP="0083798A">
      <w:pPr>
        <w:autoSpaceDE w:val="0"/>
        <w:autoSpaceDN w:val="0"/>
        <w:adjustRightInd w:val="0"/>
        <w:spacing w:after="0" w:line="360" w:lineRule="auto"/>
        <w:ind w:firstLine="540"/>
        <w:jc w:val="center"/>
        <w:rPr>
          <w:rFonts w:ascii="Times New Roman" w:hAnsi="Times New Roman" w:cs="Times New Roman"/>
          <w:b/>
          <w:sz w:val="28"/>
          <w:szCs w:val="28"/>
        </w:rPr>
      </w:pPr>
      <w:bookmarkStart w:id="0" w:name="_GoBack"/>
      <w:r w:rsidRPr="0083798A">
        <w:rPr>
          <w:rFonts w:ascii="Times New Roman" w:hAnsi="Times New Roman" w:cs="Times New Roman"/>
          <w:b/>
          <w:sz w:val="28"/>
          <w:szCs w:val="28"/>
        </w:rPr>
        <w:t>Обобщенная информация об учетной политике учреждения</w:t>
      </w:r>
      <w:bookmarkEnd w:id="0"/>
    </w:p>
    <w:p w:rsidR="00483D36" w:rsidRPr="002F35E6" w:rsidRDefault="006435F8" w:rsidP="002F35E6">
      <w:pPr>
        <w:pStyle w:val="a3"/>
        <w:numPr>
          <w:ilvl w:val="0"/>
          <w:numId w:val="11"/>
        </w:numPr>
        <w:tabs>
          <w:tab w:val="left" w:pos="1418"/>
        </w:tabs>
        <w:autoSpaceDE w:val="0"/>
        <w:autoSpaceDN w:val="0"/>
        <w:adjustRightInd w:val="0"/>
        <w:spacing w:after="0" w:line="360" w:lineRule="auto"/>
        <w:ind w:left="0" w:firstLine="567"/>
        <w:jc w:val="both"/>
        <w:rPr>
          <w:rFonts w:ascii="Times New Roman" w:hAnsi="Times New Roman" w:cs="Times New Roman"/>
          <w:sz w:val="28"/>
          <w:szCs w:val="28"/>
        </w:rPr>
      </w:pPr>
      <w:r w:rsidRPr="002F35E6">
        <w:rPr>
          <w:rFonts w:ascii="Times New Roman" w:hAnsi="Times New Roman" w:cs="Times New Roman"/>
          <w:sz w:val="28"/>
          <w:szCs w:val="28"/>
        </w:rPr>
        <w:t xml:space="preserve">Приказом от </w:t>
      </w:r>
      <w:r w:rsidR="008C2FF8">
        <w:rPr>
          <w:rFonts w:ascii="Times New Roman" w:hAnsi="Times New Roman" w:cs="Times New Roman"/>
          <w:sz w:val="28"/>
          <w:szCs w:val="28"/>
        </w:rPr>
        <w:t>27</w:t>
      </w:r>
      <w:r w:rsidR="00483D36" w:rsidRPr="002F35E6">
        <w:rPr>
          <w:rFonts w:ascii="Times New Roman" w:hAnsi="Times New Roman" w:cs="Times New Roman"/>
          <w:sz w:val="28"/>
          <w:szCs w:val="28"/>
        </w:rPr>
        <w:t>.12.20</w:t>
      </w:r>
      <w:r w:rsidRPr="002F35E6">
        <w:rPr>
          <w:rFonts w:ascii="Times New Roman" w:hAnsi="Times New Roman" w:cs="Times New Roman"/>
          <w:sz w:val="28"/>
          <w:szCs w:val="28"/>
        </w:rPr>
        <w:t>2</w:t>
      </w:r>
      <w:r w:rsidR="008C2FF8">
        <w:rPr>
          <w:rFonts w:ascii="Times New Roman" w:hAnsi="Times New Roman" w:cs="Times New Roman"/>
          <w:sz w:val="28"/>
          <w:szCs w:val="28"/>
        </w:rPr>
        <w:t>3</w:t>
      </w:r>
      <w:r w:rsidR="00483D36" w:rsidRPr="002F35E6">
        <w:rPr>
          <w:rFonts w:ascii="Times New Roman" w:hAnsi="Times New Roman" w:cs="Times New Roman"/>
          <w:sz w:val="28"/>
          <w:szCs w:val="28"/>
        </w:rPr>
        <w:t xml:space="preserve"> № </w:t>
      </w:r>
      <w:r w:rsidR="008C2FF8">
        <w:rPr>
          <w:rFonts w:ascii="Times New Roman" w:hAnsi="Times New Roman" w:cs="Times New Roman"/>
          <w:sz w:val="28"/>
          <w:szCs w:val="28"/>
        </w:rPr>
        <w:t>839</w:t>
      </w:r>
      <w:r w:rsidR="00483D36" w:rsidRPr="002F35E6">
        <w:rPr>
          <w:rFonts w:ascii="Times New Roman" w:hAnsi="Times New Roman" w:cs="Times New Roman"/>
          <w:sz w:val="28"/>
          <w:szCs w:val="28"/>
        </w:rPr>
        <w:t xml:space="preserve"> утвержден</w:t>
      </w:r>
      <w:r w:rsidR="00987D76" w:rsidRPr="002F35E6">
        <w:rPr>
          <w:rFonts w:ascii="Times New Roman" w:hAnsi="Times New Roman" w:cs="Times New Roman"/>
          <w:sz w:val="28"/>
          <w:szCs w:val="28"/>
        </w:rPr>
        <w:t>ы изменения, вносимые в учетную</w:t>
      </w:r>
      <w:r w:rsidR="00483D36" w:rsidRPr="002F35E6">
        <w:rPr>
          <w:rFonts w:ascii="Times New Roman" w:hAnsi="Times New Roman" w:cs="Times New Roman"/>
          <w:sz w:val="28"/>
          <w:szCs w:val="28"/>
        </w:rPr>
        <w:t xml:space="preserve"> политик</w:t>
      </w:r>
      <w:r w:rsidR="00987D76" w:rsidRPr="002F35E6">
        <w:rPr>
          <w:rFonts w:ascii="Times New Roman" w:hAnsi="Times New Roman" w:cs="Times New Roman"/>
          <w:sz w:val="28"/>
          <w:szCs w:val="28"/>
        </w:rPr>
        <w:t>у</w:t>
      </w:r>
      <w:r w:rsidR="007C778D" w:rsidRPr="002F35E6">
        <w:rPr>
          <w:rFonts w:ascii="Times New Roman" w:hAnsi="Times New Roman" w:cs="Times New Roman"/>
          <w:sz w:val="28"/>
          <w:szCs w:val="28"/>
        </w:rPr>
        <w:t xml:space="preserve"> (новая редакция)</w:t>
      </w:r>
      <w:r w:rsidR="00987D76" w:rsidRPr="002F35E6">
        <w:rPr>
          <w:rFonts w:ascii="Times New Roman" w:hAnsi="Times New Roman" w:cs="Times New Roman"/>
          <w:sz w:val="28"/>
          <w:szCs w:val="28"/>
        </w:rPr>
        <w:t xml:space="preserve">, </w:t>
      </w:r>
      <w:r w:rsidR="00BF0B56" w:rsidRPr="002F35E6">
        <w:rPr>
          <w:rFonts w:ascii="Times New Roman" w:hAnsi="Times New Roman" w:cs="Times New Roman"/>
          <w:sz w:val="28"/>
          <w:szCs w:val="28"/>
        </w:rPr>
        <w:t xml:space="preserve">разделами </w:t>
      </w:r>
      <w:r w:rsidR="00987D76" w:rsidRPr="002F35E6">
        <w:rPr>
          <w:rFonts w:ascii="Times New Roman" w:hAnsi="Times New Roman" w:cs="Times New Roman"/>
          <w:sz w:val="28"/>
          <w:szCs w:val="28"/>
        </w:rPr>
        <w:t>которой установлены следующие основные положения:</w:t>
      </w:r>
    </w:p>
    <w:p w:rsidR="00987D76" w:rsidRPr="00987D76" w:rsidRDefault="00987D76" w:rsidP="00B13BD2">
      <w:pPr>
        <w:pStyle w:val="a3"/>
        <w:numPr>
          <w:ilvl w:val="0"/>
          <w:numId w:val="1"/>
        </w:numPr>
        <w:tabs>
          <w:tab w:val="left" w:pos="1134"/>
        </w:tabs>
        <w:autoSpaceDE w:val="0"/>
        <w:autoSpaceDN w:val="0"/>
        <w:adjustRightInd w:val="0"/>
        <w:spacing w:before="220" w:after="0" w:line="360" w:lineRule="auto"/>
        <w:ind w:left="0" w:firstLine="567"/>
        <w:jc w:val="both"/>
        <w:rPr>
          <w:rStyle w:val="FontStyle29"/>
          <w:b w:val="0"/>
          <w:bCs w:val="0"/>
          <w:sz w:val="28"/>
          <w:szCs w:val="28"/>
        </w:rPr>
      </w:pPr>
      <w:r w:rsidRPr="005A6E77">
        <w:rPr>
          <w:rStyle w:val="FontStyle29"/>
          <w:sz w:val="28"/>
          <w:szCs w:val="28"/>
        </w:rPr>
        <w:t xml:space="preserve">Часть </w:t>
      </w:r>
      <w:r w:rsidR="008C2FF8">
        <w:rPr>
          <w:rStyle w:val="FontStyle29"/>
          <w:sz w:val="28"/>
          <w:szCs w:val="28"/>
        </w:rPr>
        <w:t xml:space="preserve">  </w:t>
      </w:r>
      <w:r w:rsidRPr="005A6E77">
        <w:rPr>
          <w:rStyle w:val="FontStyle29"/>
          <w:sz w:val="28"/>
          <w:szCs w:val="28"/>
        </w:rPr>
        <w:t xml:space="preserve">1. </w:t>
      </w:r>
      <w:r>
        <w:rPr>
          <w:rStyle w:val="FontStyle29"/>
          <w:sz w:val="28"/>
          <w:szCs w:val="28"/>
        </w:rPr>
        <w:t>Общие положения</w:t>
      </w:r>
    </w:p>
    <w:p w:rsidR="006A17C4" w:rsidRPr="006A17C4" w:rsidRDefault="008C2FF8" w:rsidP="008C2FF8">
      <w:pPr>
        <w:pStyle w:val="a3"/>
        <w:numPr>
          <w:ilvl w:val="0"/>
          <w:numId w:val="1"/>
        </w:numPr>
        <w:tabs>
          <w:tab w:val="left" w:pos="1134"/>
        </w:tabs>
        <w:autoSpaceDE w:val="0"/>
        <w:autoSpaceDN w:val="0"/>
        <w:adjustRightInd w:val="0"/>
        <w:spacing w:before="220" w:after="0" w:line="360" w:lineRule="auto"/>
        <w:ind w:left="0" w:firstLine="567"/>
        <w:jc w:val="both"/>
        <w:rPr>
          <w:rFonts w:ascii="Times New Roman" w:hAnsi="Times New Roman" w:cs="Times New Roman"/>
          <w:sz w:val="28"/>
          <w:szCs w:val="28"/>
        </w:rPr>
      </w:pPr>
      <w:r>
        <w:rPr>
          <w:rFonts w:ascii="Times New Roman" w:hAnsi="Times New Roman" w:cs="Times New Roman"/>
          <w:b/>
          <w:sz w:val="28"/>
          <w:szCs w:val="28"/>
        </w:rPr>
        <w:t>Часть 2</w:t>
      </w:r>
      <w:r w:rsidR="006A17C4" w:rsidRPr="006A17C4">
        <w:rPr>
          <w:rFonts w:ascii="Times New Roman" w:hAnsi="Times New Roman" w:cs="Times New Roman"/>
          <w:b/>
          <w:sz w:val="28"/>
          <w:szCs w:val="28"/>
        </w:rPr>
        <w:t xml:space="preserve">. </w:t>
      </w:r>
      <w:r w:rsidR="006A17C4">
        <w:rPr>
          <w:rFonts w:ascii="Times New Roman" w:hAnsi="Times New Roman" w:cs="Times New Roman"/>
          <w:b/>
          <w:sz w:val="28"/>
          <w:szCs w:val="28"/>
        </w:rPr>
        <w:t>Т</w:t>
      </w:r>
      <w:r w:rsidR="006A17C4" w:rsidRPr="0074352B">
        <w:rPr>
          <w:rFonts w:ascii="Times New Roman" w:hAnsi="Times New Roman" w:cs="Times New Roman"/>
          <w:b/>
          <w:sz w:val="28"/>
          <w:szCs w:val="28"/>
        </w:rPr>
        <w:t>ехнология обработки учетной информации</w:t>
      </w:r>
      <w:r w:rsidR="006A17C4">
        <w:rPr>
          <w:rFonts w:ascii="Times New Roman" w:hAnsi="Times New Roman" w:cs="Times New Roman"/>
          <w:b/>
          <w:sz w:val="28"/>
          <w:szCs w:val="28"/>
        </w:rPr>
        <w:t xml:space="preserve"> и правила документооборота</w:t>
      </w:r>
      <w:bookmarkStart w:id="1" w:name="_Toc48913282"/>
    </w:p>
    <w:p w:rsidR="006A17C4" w:rsidRPr="008C2FF8" w:rsidRDefault="008C2FF8" w:rsidP="008C2FF8">
      <w:pPr>
        <w:pStyle w:val="a3"/>
        <w:numPr>
          <w:ilvl w:val="1"/>
          <w:numId w:val="15"/>
        </w:numPr>
        <w:tabs>
          <w:tab w:val="left" w:pos="1701"/>
        </w:tabs>
        <w:autoSpaceDE w:val="0"/>
        <w:autoSpaceDN w:val="0"/>
        <w:adjustRightInd w:val="0"/>
        <w:spacing w:before="220" w:after="0" w:line="360" w:lineRule="auto"/>
        <w:ind w:firstLine="618"/>
        <w:jc w:val="both"/>
        <w:rPr>
          <w:rFonts w:ascii="Times New Roman" w:hAnsi="Times New Roman" w:cs="Times New Roman"/>
          <w:sz w:val="28"/>
          <w:szCs w:val="28"/>
        </w:rPr>
      </w:pPr>
      <w:r>
        <w:rPr>
          <w:rFonts w:ascii="Times New Roman" w:hAnsi="Times New Roman" w:cs="Times New Roman"/>
          <w:b/>
          <w:i/>
          <w:sz w:val="28"/>
          <w:szCs w:val="28"/>
        </w:rPr>
        <w:t xml:space="preserve"> </w:t>
      </w:r>
      <w:r w:rsidR="006A17C4" w:rsidRPr="008C2FF8">
        <w:rPr>
          <w:rFonts w:ascii="Times New Roman" w:hAnsi="Times New Roman" w:cs="Times New Roman"/>
          <w:b/>
          <w:i/>
          <w:sz w:val="28"/>
          <w:szCs w:val="28"/>
        </w:rPr>
        <w:t>Технология обработки учетной информации</w:t>
      </w:r>
      <w:bookmarkEnd w:id="1"/>
    </w:p>
    <w:p w:rsidR="001C1B51" w:rsidRDefault="001C1B51" w:rsidP="00B13BD2">
      <w:pPr>
        <w:pStyle w:val="a3"/>
        <w:numPr>
          <w:ilvl w:val="0"/>
          <w:numId w:val="2"/>
        </w:numPr>
        <w:tabs>
          <w:tab w:val="left" w:pos="1134"/>
          <w:tab w:val="left" w:pos="1701"/>
        </w:tabs>
        <w:autoSpaceDE w:val="0"/>
        <w:autoSpaceDN w:val="0"/>
        <w:adjustRightInd w:val="0"/>
        <w:spacing w:before="220" w:after="0" w:line="360" w:lineRule="auto"/>
        <w:ind w:left="0" w:firstLine="1134"/>
        <w:jc w:val="both"/>
        <w:rPr>
          <w:rFonts w:ascii="Times New Roman" w:hAnsi="Times New Roman" w:cs="Times New Roman"/>
          <w:sz w:val="28"/>
          <w:szCs w:val="28"/>
        </w:rPr>
      </w:pPr>
      <w:r w:rsidRPr="00483D36">
        <w:rPr>
          <w:rFonts w:ascii="Times New Roman" w:hAnsi="Times New Roman" w:cs="Times New Roman"/>
          <w:sz w:val="28"/>
          <w:szCs w:val="28"/>
        </w:rPr>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РФ не предусмотрены обязательные для их оформления формы документов</w:t>
      </w:r>
    </w:p>
    <w:p w:rsidR="006A17C4" w:rsidRPr="008C2FF8" w:rsidRDefault="006A17C4" w:rsidP="00B13BD2">
      <w:pPr>
        <w:pStyle w:val="a3"/>
        <w:numPr>
          <w:ilvl w:val="0"/>
          <w:numId w:val="1"/>
        </w:numPr>
        <w:tabs>
          <w:tab w:val="left" w:pos="1134"/>
        </w:tabs>
        <w:autoSpaceDE w:val="0"/>
        <w:autoSpaceDN w:val="0"/>
        <w:adjustRightInd w:val="0"/>
        <w:spacing w:before="220" w:after="0" w:line="360" w:lineRule="auto"/>
        <w:ind w:left="0" w:firstLine="567"/>
        <w:jc w:val="both"/>
        <w:rPr>
          <w:rStyle w:val="FontStyle36"/>
          <w:bCs w:val="0"/>
          <w:sz w:val="28"/>
          <w:szCs w:val="28"/>
        </w:rPr>
      </w:pPr>
      <w:r w:rsidRPr="008C2FF8">
        <w:rPr>
          <w:rFonts w:ascii="Times New Roman" w:hAnsi="Times New Roman" w:cs="Times New Roman"/>
          <w:b/>
          <w:sz w:val="28"/>
          <w:szCs w:val="28"/>
        </w:rPr>
        <w:t xml:space="preserve">Часть </w:t>
      </w:r>
      <w:r w:rsidR="008C2FF8" w:rsidRPr="008C2FF8">
        <w:rPr>
          <w:rFonts w:ascii="Times New Roman" w:hAnsi="Times New Roman" w:cs="Times New Roman"/>
          <w:b/>
          <w:sz w:val="28"/>
          <w:szCs w:val="28"/>
        </w:rPr>
        <w:t>3</w:t>
      </w:r>
      <w:r w:rsidRPr="008C2FF8">
        <w:rPr>
          <w:rFonts w:ascii="Times New Roman" w:hAnsi="Times New Roman" w:cs="Times New Roman"/>
          <w:b/>
          <w:sz w:val="28"/>
          <w:szCs w:val="28"/>
        </w:rPr>
        <w:t xml:space="preserve">. </w:t>
      </w:r>
      <w:r w:rsidRPr="008C2FF8">
        <w:rPr>
          <w:rStyle w:val="FontStyle36"/>
          <w:sz w:val="28"/>
          <w:szCs w:val="28"/>
        </w:rPr>
        <w:t>Учет отдельных видов активов и обязательств</w:t>
      </w:r>
    </w:p>
    <w:p w:rsidR="006A17C4" w:rsidRPr="008C2FF8" w:rsidRDefault="008C2FF8" w:rsidP="008C2FF8">
      <w:pPr>
        <w:tabs>
          <w:tab w:val="left" w:pos="1985"/>
        </w:tabs>
        <w:autoSpaceDE w:val="0"/>
        <w:autoSpaceDN w:val="0"/>
        <w:adjustRightInd w:val="0"/>
        <w:spacing w:before="220" w:after="0" w:line="360" w:lineRule="auto"/>
        <w:jc w:val="both"/>
        <w:rPr>
          <w:rStyle w:val="FontStyle36"/>
          <w:i/>
          <w:sz w:val="28"/>
          <w:szCs w:val="28"/>
        </w:rPr>
      </w:pPr>
      <w:bookmarkStart w:id="2" w:name="_Toc48913286"/>
      <w:r>
        <w:rPr>
          <w:rStyle w:val="FontStyle36"/>
          <w:i/>
          <w:sz w:val="28"/>
          <w:szCs w:val="28"/>
        </w:rPr>
        <w:t xml:space="preserve">              3.1    </w:t>
      </w:r>
      <w:r w:rsidR="006A17C4" w:rsidRPr="008C2FF8">
        <w:rPr>
          <w:rStyle w:val="FontStyle36"/>
          <w:i/>
          <w:sz w:val="28"/>
          <w:szCs w:val="28"/>
        </w:rPr>
        <w:t>Учет нефинансовых активов</w:t>
      </w:r>
      <w:bookmarkEnd w:id="2"/>
      <w:r w:rsidR="000F46C0" w:rsidRPr="008C2FF8">
        <w:rPr>
          <w:rStyle w:val="FontStyle36"/>
          <w:i/>
          <w:sz w:val="28"/>
          <w:szCs w:val="28"/>
        </w:rPr>
        <w:t>;</w:t>
      </w:r>
    </w:p>
    <w:p w:rsidR="00483D36" w:rsidRPr="00987D76" w:rsidRDefault="00483D36" w:rsidP="00B13BD2">
      <w:pPr>
        <w:pStyle w:val="a3"/>
        <w:numPr>
          <w:ilvl w:val="0"/>
          <w:numId w:val="2"/>
        </w:numPr>
        <w:tabs>
          <w:tab w:val="left" w:pos="1134"/>
          <w:tab w:val="left" w:pos="1701"/>
        </w:tabs>
        <w:autoSpaceDE w:val="0"/>
        <w:autoSpaceDN w:val="0"/>
        <w:adjustRightInd w:val="0"/>
        <w:spacing w:before="220" w:after="0" w:line="360" w:lineRule="auto"/>
        <w:ind w:left="0" w:firstLine="1134"/>
        <w:jc w:val="both"/>
        <w:rPr>
          <w:rFonts w:ascii="Times New Roman" w:hAnsi="Times New Roman" w:cs="Times New Roman"/>
          <w:b/>
          <w:sz w:val="28"/>
          <w:szCs w:val="28"/>
        </w:rPr>
      </w:pPr>
      <w:r w:rsidRPr="00987D76">
        <w:rPr>
          <w:rFonts w:ascii="Times New Roman" w:hAnsi="Times New Roman" w:cs="Times New Roman"/>
          <w:sz w:val="28"/>
          <w:szCs w:val="28"/>
        </w:rPr>
        <w:t>методы оценки объектов бухгалтерского учета, порядок признания (постановки на учет), прекращения признания (выбытия из учета) объектов бухгалтерского учета и (или) раскрытия информации о них в бухгалтерской (финансовой) отчетности</w:t>
      </w:r>
      <w:r w:rsidR="00987D76">
        <w:rPr>
          <w:rFonts w:ascii="Times New Roman" w:hAnsi="Times New Roman" w:cs="Times New Roman"/>
          <w:sz w:val="28"/>
          <w:szCs w:val="28"/>
        </w:rPr>
        <w:t xml:space="preserve"> –</w:t>
      </w:r>
      <w:r w:rsidRPr="00987D76">
        <w:rPr>
          <w:rFonts w:ascii="Times New Roman" w:hAnsi="Times New Roman" w:cs="Times New Roman"/>
          <w:b/>
          <w:sz w:val="28"/>
          <w:szCs w:val="28"/>
        </w:rPr>
        <w:t>;</w:t>
      </w:r>
    </w:p>
    <w:p w:rsidR="004843DA" w:rsidRDefault="004843DA" w:rsidP="00B13BD2">
      <w:pPr>
        <w:pStyle w:val="a3"/>
        <w:numPr>
          <w:ilvl w:val="0"/>
          <w:numId w:val="2"/>
        </w:numPr>
        <w:tabs>
          <w:tab w:val="left" w:pos="1134"/>
          <w:tab w:val="left" w:pos="1701"/>
        </w:tabs>
        <w:autoSpaceDE w:val="0"/>
        <w:autoSpaceDN w:val="0"/>
        <w:adjustRightInd w:val="0"/>
        <w:spacing w:before="220" w:after="0" w:line="360" w:lineRule="auto"/>
        <w:ind w:left="0" w:firstLine="1134"/>
        <w:jc w:val="both"/>
        <w:rPr>
          <w:rFonts w:ascii="Times New Roman" w:hAnsi="Times New Roman" w:cs="Times New Roman"/>
          <w:sz w:val="28"/>
          <w:szCs w:val="28"/>
        </w:rPr>
      </w:pPr>
      <w:r w:rsidRPr="001C1B51">
        <w:rPr>
          <w:rFonts w:ascii="Times New Roman" w:hAnsi="Times New Roman" w:cs="Times New Roman"/>
          <w:sz w:val="28"/>
          <w:szCs w:val="28"/>
        </w:rPr>
        <w:t>иные способы ведения бухгалтерского учета, необходимые для организации ведения бухгалтерского учета и формирования отчетности учреждения.</w:t>
      </w:r>
    </w:p>
    <w:p w:rsidR="001B5071" w:rsidRPr="008C2FF8" w:rsidRDefault="008C2FF8" w:rsidP="008C2FF8">
      <w:pPr>
        <w:pStyle w:val="a3"/>
        <w:numPr>
          <w:ilvl w:val="1"/>
          <w:numId w:val="14"/>
        </w:numPr>
        <w:tabs>
          <w:tab w:val="left" w:pos="1560"/>
        </w:tabs>
        <w:autoSpaceDE w:val="0"/>
        <w:autoSpaceDN w:val="0"/>
        <w:adjustRightInd w:val="0"/>
        <w:spacing w:before="220" w:after="0" w:line="360" w:lineRule="auto"/>
        <w:jc w:val="both"/>
        <w:rPr>
          <w:rStyle w:val="FontStyle36"/>
          <w:i/>
          <w:sz w:val="28"/>
          <w:szCs w:val="28"/>
        </w:rPr>
      </w:pPr>
      <w:bookmarkStart w:id="3" w:name="_Toc48913287"/>
      <w:r>
        <w:rPr>
          <w:rStyle w:val="FontStyle36"/>
          <w:i/>
          <w:sz w:val="28"/>
          <w:szCs w:val="28"/>
        </w:rPr>
        <w:t xml:space="preserve">      </w:t>
      </w:r>
      <w:r w:rsidR="001B5071" w:rsidRPr="008C2FF8">
        <w:rPr>
          <w:rStyle w:val="FontStyle36"/>
          <w:i/>
          <w:sz w:val="28"/>
          <w:szCs w:val="28"/>
        </w:rPr>
        <w:t>Учет основных средств</w:t>
      </w:r>
      <w:bookmarkEnd w:id="3"/>
      <w:r w:rsidR="000F46C0" w:rsidRPr="008C2FF8">
        <w:rPr>
          <w:rStyle w:val="FontStyle36"/>
          <w:i/>
          <w:sz w:val="28"/>
          <w:szCs w:val="28"/>
        </w:rPr>
        <w:t>;</w:t>
      </w:r>
    </w:p>
    <w:p w:rsidR="000F46C0" w:rsidRPr="008C2FF8" w:rsidRDefault="008C2FF8" w:rsidP="008C2FF8">
      <w:pPr>
        <w:tabs>
          <w:tab w:val="left" w:pos="1985"/>
        </w:tabs>
        <w:autoSpaceDE w:val="0"/>
        <w:autoSpaceDN w:val="0"/>
        <w:adjustRightInd w:val="0"/>
        <w:spacing w:before="220" w:after="0" w:line="360" w:lineRule="auto"/>
        <w:jc w:val="both"/>
        <w:rPr>
          <w:rStyle w:val="FontStyle36"/>
          <w:i/>
          <w:sz w:val="28"/>
          <w:szCs w:val="28"/>
        </w:rPr>
      </w:pPr>
      <w:bookmarkStart w:id="4" w:name="_Toc48913289"/>
      <w:r>
        <w:rPr>
          <w:rStyle w:val="FontStyle36"/>
          <w:i/>
          <w:sz w:val="28"/>
          <w:szCs w:val="28"/>
        </w:rPr>
        <w:t xml:space="preserve">               3.3       </w:t>
      </w:r>
      <w:r w:rsidR="000F46C0" w:rsidRPr="008C2FF8">
        <w:rPr>
          <w:rStyle w:val="FontStyle36"/>
          <w:i/>
          <w:sz w:val="28"/>
          <w:szCs w:val="28"/>
        </w:rPr>
        <w:t>Учет нематериальных активов</w:t>
      </w:r>
      <w:bookmarkStart w:id="5" w:name="_Toc48913290"/>
      <w:bookmarkEnd w:id="4"/>
      <w:r w:rsidR="000F46C0" w:rsidRPr="008C2FF8">
        <w:rPr>
          <w:rStyle w:val="FontStyle36"/>
          <w:i/>
          <w:sz w:val="28"/>
          <w:szCs w:val="28"/>
        </w:rPr>
        <w:t>;</w:t>
      </w:r>
    </w:p>
    <w:p w:rsidR="008C2FF8" w:rsidRPr="008C2FF8" w:rsidRDefault="008C2FF8" w:rsidP="008C2FF8">
      <w:pPr>
        <w:tabs>
          <w:tab w:val="left" w:pos="1985"/>
        </w:tabs>
        <w:autoSpaceDE w:val="0"/>
        <w:autoSpaceDN w:val="0"/>
        <w:adjustRightInd w:val="0"/>
        <w:spacing w:before="220" w:after="0" w:line="360" w:lineRule="auto"/>
        <w:jc w:val="both"/>
        <w:rPr>
          <w:rStyle w:val="FontStyle36"/>
          <w:i/>
          <w:sz w:val="28"/>
          <w:szCs w:val="28"/>
        </w:rPr>
      </w:pPr>
      <w:r>
        <w:rPr>
          <w:rStyle w:val="FontStyle36"/>
          <w:i/>
          <w:sz w:val="28"/>
          <w:szCs w:val="28"/>
        </w:rPr>
        <w:t xml:space="preserve">               3.4      </w:t>
      </w:r>
      <w:r w:rsidRPr="008C2FF8">
        <w:rPr>
          <w:rStyle w:val="FontStyle36"/>
          <w:i/>
          <w:sz w:val="28"/>
          <w:szCs w:val="28"/>
        </w:rPr>
        <w:t>Непроизводственные активы;</w:t>
      </w:r>
    </w:p>
    <w:p w:rsidR="000F46C0" w:rsidRPr="008C2FF8" w:rsidRDefault="008C2FF8" w:rsidP="008C2FF8">
      <w:pPr>
        <w:pStyle w:val="a3"/>
        <w:numPr>
          <w:ilvl w:val="1"/>
          <w:numId w:val="16"/>
        </w:numPr>
        <w:tabs>
          <w:tab w:val="left" w:pos="1701"/>
        </w:tabs>
        <w:autoSpaceDE w:val="0"/>
        <w:autoSpaceDN w:val="0"/>
        <w:adjustRightInd w:val="0"/>
        <w:spacing w:before="220" w:after="0" w:line="360" w:lineRule="auto"/>
        <w:jc w:val="both"/>
        <w:rPr>
          <w:rStyle w:val="FontStyle36"/>
          <w:i/>
          <w:sz w:val="28"/>
          <w:szCs w:val="28"/>
        </w:rPr>
      </w:pPr>
      <w:r w:rsidRPr="008C2FF8">
        <w:rPr>
          <w:rStyle w:val="FontStyle36"/>
          <w:i/>
          <w:sz w:val="28"/>
          <w:szCs w:val="28"/>
        </w:rPr>
        <w:t xml:space="preserve">     Материальные запасы</w:t>
      </w:r>
      <w:r w:rsidR="000F46C0" w:rsidRPr="008C2FF8">
        <w:rPr>
          <w:rStyle w:val="FontStyle36"/>
          <w:i/>
          <w:sz w:val="28"/>
          <w:szCs w:val="28"/>
        </w:rPr>
        <w:t>-</w:t>
      </w:r>
      <w:bookmarkStart w:id="6" w:name="_Toc48913291"/>
      <w:bookmarkEnd w:id="5"/>
      <w:r w:rsidR="000F46C0" w:rsidRPr="008C2FF8">
        <w:rPr>
          <w:rStyle w:val="FontStyle36"/>
          <w:i/>
          <w:sz w:val="28"/>
          <w:szCs w:val="28"/>
        </w:rPr>
        <w:t>;</w:t>
      </w:r>
    </w:p>
    <w:p w:rsidR="001B5071" w:rsidRPr="008C2FF8" w:rsidRDefault="008C2FF8" w:rsidP="008C2FF8">
      <w:pPr>
        <w:pStyle w:val="a3"/>
        <w:numPr>
          <w:ilvl w:val="1"/>
          <w:numId w:val="16"/>
        </w:numPr>
        <w:tabs>
          <w:tab w:val="left" w:pos="1985"/>
        </w:tabs>
        <w:autoSpaceDE w:val="0"/>
        <w:autoSpaceDN w:val="0"/>
        <w:adjustRightInd w:val="0"/>
        <w:spacing w:before="220" w:after="0" w:line="360" w:lineRule="auto"/>
        <w:jc w:val="both"/>
        <w:rPr>
          <w:rStyle w:val="FontStyle36"/>
          <w:i/>
          <w:sz w:val="28"/>
          <w:szCs w:val="28"/>
        </w:rPr>
      </w:pPr>
      <w:r w:rsidRPr="008C2FF8">
        <w:rPr>
          <w:rStyle w:val="FontStyle36"/>
          <w:i/>
          <w:sz w:val="28"/>
          <w:szCs w:val="28"/>
        </w:rPr>
        <w:t xml:space="preserve">    </w:t>
      </w:r>
      <w:r w:rsidR="000F46C0" w:rsidRPr="008C2FF8">
        <w:rPr>
          <w:rStyle w:val="FontStyle36"/>
          <w:i/>
          <w:sz w:val="28"/>
          <w:szCs w:val="28"/>
        </w:rPr>
        <w:t xml:space="preserve">Учет </w:t>
      </w:r>
      <w:bookmarkEnd w:id="6"/>
      <w:r w:rsidRPr="008C2FF8">
        <w:rPr>
          <w:rStyle w:val="FontStyle36"/>
          <w:i/>
          <w:sz w:val="28"/>
          <w:szCs w:val="28"/>
        </w:rPr>
        <w:t>расчетов с учредителем</w:t>
      </w:r>
      <w:r w:rsidR="000F46C0" w:rsidRPr="008C2FF8">
        <w:rPr>
          <w:rStyle w:val="FontStyle36"/>
          <w:bCs w:val="0"/>
          <w:i/>
          <w:sz w:val="28"/>
          <w:szCs w:val="28"/>
        </w:rPr>
        <w:t>;</w:t>
      </w:r>
    </w:p>
    <w:p w:rsidR="000F46C0" w:rsidRPr="008C2FF8" w:rsidRDefault="008C2FF8" w:rsidP="008C2FF8">
      <w:pPr>
        <w:pStyle w:val="a3"/>
        <w:numPr>
          <w:ilvl w:val="1"/>
          <w:numId w:val="16"/>
        </w:numPr>
        <w:tabs>
          <w:tab w:val="left" w:pos="1843"/>
        </w:tabs>
        <w:autoSpaceDE w:val="0"/>
        <w:autoSpaceDN w:val="0"/>
        <w:adjustRightInd w:val="0"/>
        <w:spacing w:before="220" w:after="0" w:line="360" w:lineRule="auto"/>
        <w:ind w:left="1560" w:hanging="443"/>
        <w:jc w:val="both"/>
        <w:rPr>
          <w:rStyle w:val="FontStyle36"/>
          <w:i/>
          <w:sz w:val="28"/>
          <w:szCs w:val="28"/>
        </w:rPr>
      </w:pPr>
      <w:r w:rsidRPr="008C2FF8">
        <w:rPr>
          <w:rStyle w:val="FontStyle36"/>
          <w:i/>
          <w:sz w:val="28"/>
          <w:szCs w:val="28"/>
        </w:rPr>
        <w:t xml:space="preserve">      Себестоимость</w:t>
      </w:r>
      <w:r w:rsidR="000F46C0" w:rsidRPr="008C2FF8">
        <w:rPr>
          <w:rStyle w:val="FontStyle36"/>
          <w:i/>
          <w:sz w:val="28"/>
          <w:szCs w:val="28"/>
        </w:rPr>
        <w:t>;</w:t>
      </w:r>
    </w:p>
    <w:p w:rsidR="000F46C0" w:rsidRPr="008C2FF8" w:rsidRDefault="000F46C0" w:rsidP="008C2FF8">
      <w:pPr>
        <w:pStyle w:val="a3"/>
        <w:numPr>
          <w:ilvl w:val="1"/>
          <w:numId w:val="16"/>
        </w:numPr>
        <w:tabs>
          <w:tab w:val="left" w:pos="1985"/>
        </w:tabs>
        <w:autoSpaceDE w:val="0"/>
        <w:autoSpaceDN w:val="0"/>
        <w:adjustRightInd w:val="0"/>
        <w:spacing w:before="220" w:after="0" w:line="360" w:lineRule="auto"/>
        <w:ind w:hanging="216"/>
        <w:jc w:val="both"/>
        <w:rPr>
          <w:rStyle w:val="FontStyle36"/>
          <w:i/>
          <w:sz w:val="28"/>
          <w:szCs w:val="28"/>
        </w:rPr>
      </w:pPr>
      <w:r w:rsidRPr="008C2FF8">
        <w:rPr>
          <w:rStyle w:val="FontStyle36"/>
          <w:i/>
          <w:sz w:val="28"/>
          <w:szCs w:val="28"/>
        </w:rPr>
        <w:t>Учет денежных средств и денежных документов;</w:t>
      </w:r>
    </w:p>
    <w:p w:rsidR="000F46C0" w:rsidRDefault="008C2FF8" w:rsidP="008C2FF8">
      <w:pPr>
        <w:pStyle w:val="a3"/>
        <w:numPr>
          <w:ilvl w:val="1"/>
          <w:numId w:val="16"/>
        </w:numPr>
        <w:tabs>
          <w:tab w:val="left" w:pos="1985"/>
        </w:tabs>
        <w:autoSpaceDE w:val="0"/>
        <w:autoSpaceDN w:val="0"/>
        <w:adjustRightInd w:val="0"/>
        <w:spacing w:before="220" w:after="0" w:line="360" w:lineRule="auto"/>
        <w:ind w:hanging="216"/>
        <w:jc w:val="both"/>
        <w:rPr>
          <w:rStyle w:val="FontStyle36"/>
          <w:i/>
          <w:sz w:val="28"/>
          <w:szCs w:val="28"/>
        </w:rPr>
      </w:pPr>
      <w:r>
        <w:rPr>
          <w:rStyle w:val="FontStyle36"/>
          <w:i/>
          <w:sz w:val="28"/>
          <w:szCs w:val="28"/>
        </w:rPr>
        <w:t>Расчеты с дебиторами и кредиторами</w:t>
      </w:r>
      <w:r w:rsidR="000F46C0" w:rsidRPr="000F46C0">
        <w:rPr>
          <w:rStyle w:val="FontStyle36"/>
          <w:i/>
          <w:sz w:val="28"/>
          <w:szCs w:val="28"/>
        </w:rPr>
        <w:t>;</w:t>
      </w:r>
      <w:bookmarkStart w:id="7" w:name="_Toc48913296"/>
    </w:p>
    <w:p w:rsidR="000F46C0" w:rsidRPr="000F46C0" w:rsidRDefault="000F46C0" w:rsidP="008C2FF8">
      <w:pPr>
        <w:pStyle w:val="a3"/>
        <w:numPr>
          <w:ilvl w:val="1"/>
          <w:numId w:val="16"/>
        </w:numPr>
        <w:tabs>
          <w:tab w:val="left" w:pos="1985"/>
        </w:tabs>
        <w:autoSpaceDE w:val="0"/>
        <w:autoSpaceDN w:val="0"/>
        <w:adjustRightInd w:val="0"/>
        <w:spacing w:before="220" w:after="0" w:line="360" w:lineRule="auto"/>
        <w:ind w:hanging="216"/>
        <w:jc w:val="both"/>
        <w:rPr>
          <w:rFonts w:ascii="Times New Roman" w:hAnsi="Times New Roman" w:cs="Times New Roman"/>
          <w:b/>
          <w:bCs/>
          <w:i/>
          <w:sz w:val="28"/>
          <w:szCs w:val="28"/>
        </w:rPr>
      </w:pPr>
      <w:bookmarkStart w:id="8" w:name="_Toc48913297"/>
      <w:bookmarkEnd w:id="7"/>
      <w:r w:rsidRPr="003A4DBE">
        <w:rPr>
          <w:rFonts w:ascii="Times New Roman" w:hAnsi="Times New Roman" w:cs="Times New Roman"/>
          <w:b/>
          <w:i/>
          <w:sz w:val="28"/>
          <w:szCs w:val="28"/>
        </w:rPr>
        <w:t xml:space="preserve">Расчеты </w:t>
      </w:r>
      <w:bookmarkEnd w:id="8"/>
      <w:r w:rsidR="008C2FF8">
        <w:rPr>
          <w:rFonts w:ascii="Times New Roman" w:hAnsi="Times New Roman" w:cs="Times New Roman"/>
          <w:b/>
          <w:i/>
          <w:sz w:val="28"/>
          <w:szCs w:val="28"/>
        </w:rPr>
        <w:t>с подотчетными лицами</w:t>
      </w:r>
      <w:r>
        <w:rPr>
          <w:rFonts w:ascii="Times New Roman" w:hAnsi="Times New Roman" w:cs="Times New Roman"/>
          <w:b/>
          <w:i/>
          <w:sz w:val="28"/>
          <w:szCs w:val="28"/>
        </w:rPr>
        <w:t>;</w:t>
      </w:r>
      <w:bookmarkStart w:id="9" w:name="_Toc48913298"/>
    </w:p>
    <w:bookmarkEnd w:id="9"/>
    <w:p w:rsidR="000F46C0" w:rsidRDefault="008C2FF8" w:rsidP="008C2FF8">
      <w:pPr>
        <w:pStyle w:val="a3"/>
        <w:numPr>
          <w:ilvl w:val="1"/>
          <w:numId w:val="16"/>
        </w:numPr>
        <w:tabs>
          <w:tab w:val="left" w:pos="1134"/>
          <w:tab w:val="left" w:pos="1985"/>
        </w:tabs>
        <w:autoSpaceDE w:val="0"/>
        <w:autoSpaceDN w:val="0"/>
        <w:adjustRightInd w:val="0"/>
        <w:spacing w:before="220" w:after="0" w:line="360" w:lineRule="auto"/>
        <w:ind w:hanging="216"/>
        <w:jc w:val="both"/>
        <w:rPr>
          <w:rFonts w:ascii="Times New Roman" w:hAnsi="Times New Roman" w:cs="Times New Roman"/>
          <w:b/>
          <w:bCs/>
          <w:i/>
          <w:sz w:val="28"/>
          <w:szCs w:val="28"/>
        </w:rPr>
      </w:pPr>
      <w:r>
        <w:rPr>
          <w:rFonts w:ascii="Times New Roman" w:hAnsi="Times New Roman" w:cs="Times New Roman"/>
          <w:b/>
          <w:bCs/>
          <w:i/>
          <w:sz w:val="28"/>
          <w:szCs w:val="28"/>
        </w:rPr>
        <w:t>Финансовый результат</w:t>
      </w:r>
      <w:r w:rsidR="000F46C0">
        <w:rPr>
          <w:rFonts w:ascii="Times New Roman" w:hAnsi="Times New Roman" w:cs="Times New Roman"/>
          <w:b/>
          <w:bCs/>
          <w:i/>
          <w:sz w:val="28"/>
          <w:szCs w:val="28"/>
        </w:rPr>
        <w:t>;</w:t>
      </w:r>
      <w:bookmarkStart w:id="10" w:name="_Toc48913299"/>
    </w:p>
    <w:p w:rsidR="008C2FF8" w:rsidRPr="008C2FF8" w:rsidRDefault="008C2FF8" w:rsidP="008C2FF8">
      <w:pPr>
        <w:pStyle w:val="a3"/>
        <w:numPr>
          <w:ilvl w:val="1"/>
          <w:numId w:val="16"/>
        </w:numPr>
        <w:tabs>
          <w:tab w:val="left" w:pos="1985"/>
        </w:tabs>
        <w:autoSpaceDE w:val="0"/>
        <w:autoSpaceDN w:val="0"/>
        <w:adjustRightInd w:val="0"/>
        <w:spacing w:before="220" w:after="0" w:line="360" w:lineRule="auto"/>
        <w:ind w:hanging="216"/>
        <w:jc w:val="both"/>
        <w:rPr>
          <w:rStyle w:val="FontStyle32"/>
          <w:b/>
          <w:bCs/>
          <w:i/>
          <w:sz w:val="28"/>
          <w:szCs w:val="28"/>
        </w:rPr>
      </w:pPr>
      <w:r w:rsidRPr="005A6E77">
        <w:rPr>
          <w:rStyle w:val="FontStyle32"/>
          <w:b/>
          <w:i/>
          <w:sz w:val="28"/>
          <w:szCs w:val="28"/>
        </w:rPr>
        <w:t>Учет санкционирования расходов</w:t>
      </w:r>
      <w:r>
        <w:rPr>
          <w:rStyle w:val="FontStyle32"/>
          <w:b/>
          <w:i/>
          <w:sz w:val="28"/>
          <w:szCs w:val="28"/>
        </w:rPr>
        <w:t>;</w:t>
      </w:r>
    </w:p>
    <w:p w:rsidR="008C2FF8" w:rsidRPr="008C2FF8" w:rsidRDefault="008C2FF8" w:rsidP="008C2FF8">
      <w:pPr>
        <w:pStyle w:val="a3"/>
        <w:numPr>
          <w:ilvl w:val="1"/>
          <w:numId w:val="16"/>
        </w:numPr>
        <w:tabs>
          <w:tab w:val="left" w:pos="1985"/>
        </w:tabs>
        <w:autoSpaceDE w:val="0"/>
        <w:autoSpaceDN w:val="0"/>
        <w:adjustRightInd w:val="0"/>
        <w:spacing w:before="220" w:after="0" w:line="360" w:lineRule="auto"/>
        <w:ind w:hanging="216"/>
        <w:jc w:val="both"/>
        <w:rPr>
          <w:rStyle w:val="FontStyle32"/>
          <w:b/>
          <w:bCs/>
          <w:i/>
          <w:sz w:val="28"/>
          <w:szCs w:val="28"/>
        </w:rPr>
      </w:pPr>
      <w:r>
        <w:rPr>
          <w:rStyle w:val="FontStyle32"/>
          <w:b/>
          <w:i/>
          <w:sz w:val="28"/>
          <w:szCs w:val="28"/>
        </w:rPr>
        <w:t>Обесценение активов;</w:t>
      </w:r>
    </w:p>
    <w:p w:rsidR="008C2FF8" w:rsidRDefault="008C2FF8" w:rsidP="008C2FF8">
      <w:pPr>
        <w:pStyle w:val="a3"/>
        <w:numPr>
          <w:ilvl w:val="1"/>
          <w:numId w:val="16"/>
        </w:numPr>
        <w:tabs>
          <w:tab w:val="left" w:pos="1985"/>
        </w:tabs>
        <w:autoSpaceDE w:val="0"/>
        <w:autoSpaceDN w:val="0"/>
        <w:adjustRightInd w:val="0"/>
        <w:spacing w:before="220" w:after="0" w:line="360" w:lineRule="auto"/>
        <w:ind w:hanging="216"/>
        <w:jc w:val="both"/>
        <w:rPr>
          <w:rFonts w:ascii="Times New Roman" w:hAnsi="Times New Roman" w:cs="Times New Roman"/>
          <w:b/>
          <w:bCs/>
          <w:i/>
          <w:sz w:val="28"/>
          <w:szCs w:val="28"/>
        </w:rPr>
      </w:pPr>
      <w:proofErr w:type="spellStart"/>
      <w:r>
        <w:rPr>
          <w:rStyle w:val="FontStyle32"/>
          <w:b/>
          <w:i/>
          <w:sz w:val="28"/>
          <w:szCs w:val="28"/>
        </w:rPr>
        <w:t>Забалансовый</w:t>
      </w:r>
      <w:proofErr w:type="spellEnd"/>
      <w:r>
        <w:rPr>
          <w:rStyle w:val="FontStyle32"/>
          <w:b/>
          <w:i/>
          <w:sz w:val="28"/>
          <w:szCs w:val="28"/>
        </w:rPr>
        <w:t xml:space="preserve"> учет;</w:t>
      </w:r>
    </w:p>
    <w:p w:rsidR="001C1B51" w:rsidRPr="001C1B51" w:rsidRDefault="001C1B51" w:rsidP="00B13BD2">
      <w:pPr>
        <w:pStyle w:val="a3"/>
        <w:numPr>
          <w:ilvl w:val="0"/>
          <w:numId w:val="1"/>
        </w:numPr>
        <w:tabs>
          <w:tab w:val="left" w:pos="1134"/>
        </w:tabs>
        <w:autoSpaceDE w:val="0"/>
        <w:autoSpaceDN w:val="0"/>
        <w:adjustRightInd w:val="0"/>
        <w:spacing w:before="220" w:after="0" w:line="360" w:lineRule="auto"/>
        <w:ind w:left="0" w:firstLine="567"/>
        <w:jc w:val="both"/>
        <w:rPr>
          <w:rFonts w:ascii="Times New Roman" w:hAnsi="Times New Roman" w:cs="Times New Roman"/>
          <w:b/>
          <w:sz w:val="28"/>
          <w:szCs w:val="28"/>
        </w:rPr>
      </w:pPr>
      <w:bookmarkStart w:id="11" w:name="_Toc536002907"/>
      <w:bookmarkEnd w:id="10"/>
      <w:r w:rsidRPr="001C1B51">
        <w:rPr>
          <w:rFonts w:ascii="Times New Roman" w:hAnsi="Times New Roman" w:cs="Times New Roman"/>
          <w:b/>
          <w:sz w:val="28"/>
          <w:szCs w:val="28"/>
        </w:rPr>
        <w:t xml:space="preserve">Часть </w:t>
      </w:r>
      <w:r w:rsidR="008C2FF8">
        <w:rPr>
          <w:rFonts w:ascii="Times New Roman" w:hAnsi="Times New Roman" w:cs="Times New Roman"/>
          <w:b/>
          <w:sz w:val="28"/>
          <w:szCs w:val="28"/>
        </w:rPr>
        <w:t>4</w:t>
      </w:r>
      <w:r w:rsidRPr="001C1B51">
        <w:rPr>
          <w:rFonts w:ascii="Times New Roman" w:hAnsi="Times New Roman" w:cs="Times New Roman"/>
          <w:b/>
          <w:sz w:val="28"/>
          <w:szCs w:val="28"/>
        </w:rPr>
        <w:t xml:space="preserve">. </w:t>
      </w:r>
      <w:r w:rsidRPr="001C1B51">
        <w:rPr>
          <w:rFonts w:ascii="Times New Roman" w:hAnsi="Times New Roman" w:cs="Times New Roman"/>
          <w:b/>
          <w:bCs/>
          <w:sz w:val="28"/>
          <w:szCs w:val="28"/>
        </w:rPr>
        <w:t>Бухгалтерская (финансовая) отчетность</w:t>
      </w:r>
      <w:bookmarkEnd w:id="11"/>
    </w:p>
    <w:p w:rsidR="008C2FF8" w:rsidRPr="008C2FF8" w:rsidRDefault="008C2FF8" w:rsidP="008C2FF8">
      <w:pPr>
        <w:pStyle w:val="a3"/>
        <w:numPr>
          <w:ilvl w:val="0"/>
          <w:numId w:val="2"/>
        </w:numPr>
        <w:tabs>
          <w:tab w:val="left" w:pos="1134"/>
          <w:tab w:val="left" w:pos="1701"/>
        </w:tabs>
        <w:autoSpaceDE w:val="0"/>
        <w:autoSpaceDN w:val="0"/>
        <w:adjustRightInd w:val="0"/>
        <w:spacing w:before="220" w:after="0" w:line="360" w:lineRule="auto"/>
        <w:jc w:val="both"/>
        <w:rPr>
          <w:rFonts w:ascii="Times New Roman" w:hAnsi="Times New Roman" w:cs="Times New Roman"/>
          <w:sz w:val="28"/>
          <w:szCs w:val="28"/>
        </w:rPr>
      </w:pPr>
      <w:bookmarkStart w:id="12" w:name="_Toc536002908"/>
      <w:r w:rsidRPr="008C2FF8">
        <w:rPr>
          <w:rFonts w:ascii="Times New Roman" w:hAnsi="Times New Roman" w:cs="Times New Roman"/>
          <w:bCs/>
          <w:iCs/>
          <w:sz w:val="28"/>
          <w:szCs w:val="28"/>
        </w:rPr>
        <w:t>Бухгалтерская отчетность формируется и хранится в виде электронного документа в информационной системе «Свод-СМАРТ». Бумажная копия комплекта отчетности хранится у главного бухгалтера.</w:t>
      </w:r>
    </w:p>
    <w:p w:rsidR="008C2FF8" w:rsidRPr="00B13BD2" w:rsidRDefault="008C2FF8" w:rsidP="008C2FF8">
      <w:pPr>
        <w:tabs>
          <w:tab w:val="left" w:pos="1134"/>
          <w:tab w:val="left" w:pos="1701"/>
        </w:tabs>
        <w:autoSpaceDE w:val="0"/>
        <w:autoSpaceDN w:val="0"/>
        <w:adjustRightInd w:val="0"/>
        <w:spacing w:before="220" w:after="0" w:line="360" w:lineRule="auto"/>
        <w:jc w:val="both"/>
        <w:rPr>
          <w:rStyle w:val="FontStyle14"/>
          <w:b w:val="0"/>
          <w:bCs w:val="0"/>
          <w:sz w:val="28"/>
          <w:szCs w:val="28"/>
        </w:rPr>
      </w:pPr>
      <w:r w:rsidRPr="00B13BD2">
        <w:rPr>
          <w:rStyle w:val="FontStyle14"/>
          <w:sz w:val="28"/>
          <w:szCs w:val="28"/>
        </w:rPr>
        <w:t>Приложения к Учетной политике.</w:t>
      </w:r>
    </w:p>
    <w:bookmarkEnd w:id="12"/>
    <w:p w:rsidR="008C2FF8" w:rsidRPr="00215433" w:rsidRDefault="008C2FF8" w:rsidP="008C2FF8">
      <w:pPr>
        <w:pStyle w:val="Style12"/>
        <w:widowControl/>
        <w:tabs>
          <w:tab w:val="num" w:pos="0"/>
        </w:tabs>
        <w:spacing w:line="240" w:lineRule="exact"/>
        <w:ind w:firstLine="709"/>
        <w:rPr>
          <w:rStyle w:val="FontStyle14"/>
        </w:rPr>
      </w:pPr>
    </w:p>
    <w:p w:rsidR="008C2FF8" w:rsidRPr="008C2FF8" w:rsidRDefault="008C2FF8" w:rsidP="008C2FF8">
      <w:pPr>
        <w:pStyle w:val="Style2"/>
        <w:widowControl/>
        <w:numPr>
          <w:ilvl w:val="0"/>
          <w:numId w:val="17"/>
        </w:numPr>
        <w:tabs>
          <w:tab w:val="left" w:pos="1418"/>
          <w:tab w:val="left" w:pos="6804"/>
          <w:tab w:val="left" w:pos="7371"/>
        </w:tabs>
        <w:spacing w:line="360" w:lineRule="auto"/>
        <w:jc w:val="both"/>
        <w:rPr>
          <w:rStyle w:val="FontStyle18"/>
          <w:sz w:val="28"/>
          <w:szCs w:val="28"/>
        </w:rPr>
      </w:pPr>
      <w:r w:rsidRPr="008C2FF8">
        <w:rPr>
          <w:rStyle w:val="FontStyle18"/>
          <w:sz w:val="28"/>
          <w:szCs w:val="28"/>
        </w:rPr>
        <w:t>Рабочий план счетов.</w:t>
      </w:r>
    </w:p>
    <w:p w:rsidR="008C2FF8" w:rsidRPr="008C2FF8" w:rsidRDefault="008C2FF8" w:rsidP="008C2FF8">
      <w:pPr>
        <w:pStyle w:val="Style2"/>
        <w:widowControl/>
        <w:numPr>
          <w:ilvl w:val="0"/>
          <w:numId w:val="17"/>
        </w:numPr>
        <w:tabs>
          <w:tab w:val="left" w:pos="1426"/>
          <w:tab w:val="left" w:pos="6804"/>
          <w:tab w:val="left" w:pos="7371"/>
        </w:tabs>
        <w:spacing w:line="360" w:lineRule="auto"/>
        <w:jc w:val="both"/>
        <w:rPr>
          <w:rStyle w:val="FontStyle18"/>
          <w:sz w:val="28"/>
          <w:szCs w:val="28"/>
        </w:rPr>
      </w:pPr>
      <w:r w:rsidRPr="008C2FF8">
        <w:rPr>
          <w:rStyle w:val="FontStyle18"/>
          <w:sz w:val="28"/>
          <w:szCs w:val="28"/>
        </w:rPr>
        <w:t xml:space="preserve">События после отчетной даты. </w:t>
      </w:r>
    </w:p>
    <w:p w:rsidR="008C2FF8" w:rsidRPr="008C2FF8" w:rsidRDefault="008C2FF8" w:rsidP="008C2FF8">
      <w:pPr>
        <w:pStyle w:val="Style2"/>
        <w:widowControl/>
        <w:tabs>
          <w:tab w:val="left" w:pos="1426"/>
          <w:tab w:val="left" w:pos="6804"/>
          <w:tab w:val="left" w:pos="7371"/>
        </w:tabs>
        <w:spacing w:line="360" w:lineRule="auto"/>
        <w:ind w:firstLine="709"/>
        <w:jc w:val="both"/>
        <w:rPr>
          <w:sz w:val="28"/>
          <w:szCs w:val="28"/>
        </w:rPr>
      </w:pPr>
      <w:r w:rsidRPr="008C2FF8">
        <w:rPr>
          <w:bCs/>
          <w:sz w:val="28"/>
          <w:szCs w:val="28"/>
        </w:rPr>
        <w:t>3. Периодичность формирования регистров бухгалтерского учета на бумажных носителях</w:t>
      </w:r>
      <w:r w:rsidRPr="008C2FF8">
        <w:rPr>
          <w:sz w:val="28"/>
          <w:szCs w:val="28"/>
        </w:rPr>
        <w:t xml:space="preserve"> в условиях комплексной автоматизации бюджетного учета.</w:t>
      </w:r>
    </w:p>
    <w:p w:rsidR="008C2FF8" w:rsidRPr="008C2FF8" w:rsidRDefault="008C2FF8" w:rsidP="008C2FF8">
      <w:pPr>
        <w:pStyle w:val="Style2"/>
        <w:widowControl/>
        <w:tabs>
          <w:tab w:val="left" w:pos="1426"/>
          <w:tab w:val="left" w:pos="6804"/>
          <w:tab w:val="left" w:pos="7371"/>
        </w:tabs>
        <w:spacing w:line="360" w:lineRule="auto"/>
        <w:ind w:firstLine="709"/>
        <w:jc w:val="both"/>
        <w:rPr>
          <w:sz w:val="28"/>
          <w:szCs w:val="28"/>
        </w:rPr>
      </w:pPr>
      <w:r w:rsidRPr="008C2FF8">
        <w:rPr>
          <w:sz w:val="28"/>
          <w:szCs w:val="28"/>
        </w:rPr>
        <w:t>4. Номера журналов операций.</w:t>
      </w:r>
    </w:p>
    <w:p w:rsidR="008C2FF8" w:rsidRPr="008C2FF8" w:rsidRDefault="008C2FF8" w:rsidP="008C2FF8">
      <w:pPr>
        <w:pStyle w:val="Style2"/>
        <w:widowControl/>
        <w:tabs>
          <w:tab w:val="left" w:pos="1426"/>
          <w:tab w:val="left" w:pos="6804"/>
          <w:tab w:val="left" w:pos="7371"/>
        </w:tabs>
        <w:spacing w:line="360" w:lineRule="auto"/>
        <w:ind w:firstLine="709"/>
        <w:jc w:val="both"/>
        <w:rPr>
          <w:sz w:val="28"/>
          <w:szCs w:val="28"/>
        </w:rPr>
      </w:pPr>
      <w:r w:rsidRPr="008C2FF8">
        <w:rPr>
          <w:sz w:val="28"/>
          <w:szCs w:val="28"/>
        </w:rPr>
        <w:t>5. Перечень должностных лиц, имеющих право подписи первичных документов.</w:t>
      </w:r>
    </w:p>
    <w:p w:rsidR="008C2FF8" w:rsidRPr="008C2FF8" w:rsidRDefault="008C2FF8" w:rsidP="008C2FF8">
      <w:pPr>
        <w:pStyle w:val="Style2"/>
        <w:widowControl/>
        <w:tabs>
          <w:tab w:val="left" w:pos="1426"/>
          <w:tab w:val="left" w:pos="6804"/>
          <w:tab w:val="left" w:pos="7371"/>
        </w:tabs>
        <w:spacing w:line="360" w:lineRule="auto"/>
        <w:ind w:firstLine="709"/>
        <w:jc w:val="both"/>
        <w:rPr>
          <w:bCs/>
          <w:iCs/>
          <w:sz w:val="28"/>
          <w:szCs w:val="28"/>
        </w:rPr>
      </w:pPr>
      <w:r w:rsidRPr="008C2FF8">
        <w:rPr>
          <w:sz w:val="28"/>
          <w:szCs w:val="28"/>
        </w:rPr>
        <w:t>6.</w:t>
      </w:r>
      <w:r w:rsidRPr="008C2FF8">
        <w:rPr>
          <w:sz w:val="28"/>
          <w:szCs w:val="28"/>
          <w:lang w:val="en-US"/>
        </w:rPr>
        <w:t> </w:t>
      </w:r>
      <w:r w:rsidRPr="008C2FF8">
        <w:rPr>
          <w:bCs/>
          <w:iCs/>
          <w:sz w:val="28"/>
          <w:szCs w:val="28"/>
        </w:rPr>
        <w:t>Состав комиссии по поступлению и выбытию нефинансовых активов.</w:t>
      </w:r>
    </w:p>
    <w:p w:rsidR="008C2FF8" w:rsidRPr="008C2FF8" w:rsidRDefault="008C2FF8" w:rsidP="008C2FF8">
      <w:pPr>
        <w:pStyle w:val="Style2"/>
        <w:widowControl/>
        <w:tabs>
          <w:tab w:val="left" w:pos="1426"/>
          <w:tab w:val="left" w:pos="6804"/>
          <w:tab w:val="left" w:pos="7371"/>
        </w:tabs>
        <w:spacing w:line="360" w:lineRule="auto"/>
        <w:ind w:firstLine="709"/>
        <w:jc w:val="both"/>
        <w:rPr>
          <w:bCs/>
          <w:sz w:val="28"/>
          <w:szCs w:val="28"/>
        </w:rPr>
      </w:pPr>
      <w:r w:rsidRPr="008C2FF8">
        <w:rPr>
          <w:bCs/>
          <w:iCs/>
          <w:sz w:val="28"/>
          <w:szCs w:val="28"/>
        </w:rPr>
        <w:t>7. </w:t>
      </w:r>
      <w:r w:rsidRPr="008C2FF8">
        <w:rPr>
          <w:bCs/>
          <w:sz w:val="28"/>
          <w:szCs w:val="28"/>
        </w:rPr>
        <w:t>Порядок принятия обязательств.</w:t>
      </w:r>
    </w:p>
    <w:p w:rsidR="008C2FF8" w:rsidRPr="008C2FF8" w:rsidRDefault="008C2FF8" w:rsidP="008C2FF8">
      <w:pPr>
        <w:pStyle w:val="Style2"/>
        <w:widowControl/>
        <w:tabs>
          <w:tab w:val="left" w:pos="1426"/>
          <w:tab w:val="left" w:pos="6804"/>
          <w:tab w:val="left" w:pos="7371"/>
        </w:tabs>
        <w:spacing w:line="360" w:lineRule="auto"/>
        <w:ind w:firstLine="709"/>
        <w:jc w:val="both"/>
        <w:rPr>
          <w:rStyle w:val="FontStyle18"/>
          <w:sz w:val="28"/>
          <w:szCs w:val="28"/>
        </w:rPr>
      </w:pPr>
      <w:r w:rsidRPr="008C2FF8">
        <w:rPr>
          <w:bCs/>
          <w:sz w:val="28"/>
          <w:szCs w:val="28"/>
        </w:rPr>
        <w:t>8. </w:t>
      </w:r>
      <w:r w:rsidRPr="008C2FF8">
        <w:rPr>
          <w:rStyle w:val="FontStyle18"/>
          <w:sz w:val="28"/>
          <w:szCs w:val="28"/>
        </w:rPr>
        <w:t xml:space="preserve">Положение о выдаче наличных денежных средств под отчет. </w:t>
      </w:r>
    </w:p>
    <w:p w:rsidR="008C2FF8" w:rsidRPr="008C2FF8" w:rsidRDefault="008C2FF8" w:rsidP="008C2FF8">
      <w:pPr>
        <w:pStyle w:val="Style2"/>
        <w:widowControl/>
        <w:tabs>
          <w:tab w:val="left" w:pos="1426"/>
          <w:tab w:val="left" w:pos="6804"/>
          <w:tab w:val="left" w:pos="7371"/>
        </w:tabs>
        <w:spacing w:line="360" w:lineRule="auto"/>
        <w:ind w:firstLine="709"/>
        <w:jc w:val="both"/>
        <w:rPr>
          <w:rStyle w:val="FontStyle18"/>
          <w:sz w:val="28"/>
          <w:szCs w:val="28"/>
        </w:rPr>
      </w:pPr>
      <w:r w:rsidRPr="008C2FF8">
        <w:rPr>
          <w:rStyle w:val="FontStyle18"/>
          <w:sz w:val="28"/>
          <w:szCs w:val="28"/>
        </w:rPr>
        <w:t>9. Положение о проведении инвентаризации активов и обязательств.</w:t>
      </w:r>
    </w:p>
    <w:p w:rsidR="008C2FF8" w:rsidRPr="008C2FF8" w:rsidRDefault="008C2FF8" w:rsidP="008C2FF8">
      <w:pPr>
        <w:pStyle w:val="Style2"/>
        <w:widowControl/>
        <w:tabs>
          <w:tab w:val="left" w:pos="1426"/>
          <w:tab w:val="left" w:pos="6804"/>
          <w:tab w:val="left" w:pos="7371"/>
        </w:tabs>
        <w:spacing w:line="360" w:lineRule="auto"/>
        <w:ind w:firstLine="709"/>
        <w:jc w:val="both"/>
        <w:rPr>
          <w:rStyle w:val="FontStyle18"/>
          <w:sz w:val="28"/>
          <w:szCs w:val="28"/>
        </w:rPr>
      </w:pPr>
      <w:r w:rsidRPr="008C2FF8">
        <w:rPr>
          <w:rStyle w:val="FontStyle18"/>
          <w:sz w:val="28"/>
          <w:szCs w:val="28"/>
        </w:rPr>
        <w:t>10. Положение о порядке проведения инвентаризации кассы.</w:t>
      </w:r>
    </w:p>
    <w:p w:rsidR="008C2FF8" w:rsidRPr="008C2FF8" w:rsidRDefault="008C2FF8" w:rsidP="008C2FF8">
      <w:pPr>
        <w:pStyle w:val="Style2"/>
        <w:widowControl/>
        <w:tabs>
          <w:tab w:val="left" w:pos="1426"/>
          <w:tab w:val="left" w:pos="6804"/>
          <w:tab w:val="left" w:pos="7371"/>
        </w:tabs>
        <w:spacing w:line="360" w:lineRule="auto"/>
        <w:ind w:firstLine="709"/>
        <w:jc w:val="both"/>
        <w:rPr>
          <w:rStyle w:val="FontStyle18"/>
          <w:sz w:val="28"/>
          <w:szCs w:val="28"/>
        </w:rPr>
      </w:pPr>
      <w:r w:rsidRPr="008C2FF8">
        <w:rPr>
          <w:rStyle w:val="FontStyle18"/>
          <w:sz w:val="28"/>
          <w:szCs w:val="28"/>
        </w:rPr>
        <w:t>11. Положение о внутреннем финансовом контроле.</w:t>
      </w:r>
    </w:p>
    <w:p w:rsidR="008C2FF8" w:rsidRPr="008C2FF8" w:rsidRDefault="008C2FF8" w:rsidP="008C2FF8">
      <w:pPr>
        <w:pStyle w:val="Style2"/>
        <w:widowControl/>
        <w:tabs>
          <w:tab w:val="left" w:pos="1426"/>
          <w:tab w:val="left" w:pos="6804"/>
          <w:tab w:val="left" w:pos="7371"/>
        </w:tabs>
        <w:spacing w:line="360" w:lineRule="auto"/>
        <w:ind w:firstLine="709"/>
        <w:jc w:val="both"/>
        <w:rPr>
          <w:rStyle w:val="FontStyle18"/>
          <w:sz w:val="28"/>
          <w:szCs w:val="28"/>
        </w:rPr>
      </w:pPr>
      <w:r w:rsidRPr="008C2FF8">
        <w:rPr>
          <w:rFonts w:eastAsiaTheme="minorHAnsi"/>
          <w:bCs/>
          <w:sz w:val="28"/>
          <w:szCs w:val="28"/>
          <w:lang w:eastAsia="en-US"/>
        </w:rPr>
        <w:t>12. Самостоятельно разработанные формы</w:t>
      </w:r>
      <w:r w:rsidRPr="008C2FF8">
        <w:rPr>
          <w:rFonts w:eastAsiaTheme="minorHAnsi"/>
          <w:sz w:val="28"/>
          <w:szCs w:val="28"/>
          <w:lang w:eastAsia="en-US"/>
        </w:rPr>
        <w:t xml:space="preserve"> </w:t>
      </w:r>
      <w:r w:rsidRPr="008C2FF8">
        <w:rPr>
          <w:rFonts w:eastAsiaTheme="minorHAnsi"/>
          <w:bCs/>
          <w:sz w:val="28"/>
          <w:szCs w:val="28"/>
          <w:lang w:eastAsia="en-US"/>
        </w:rPr>
        <w:t>первичных (сводных) учетных документов</w:t>
      </w:r>
    </w:p>
    <w:p w:rsidR="008C2FF8" w:rsidRPr="008C2FF8" w:rsidRDefault="008C2FF8" w:rsidP="008C2FF8">
      <w:pPr>
        <w:tabs>
          <w:tab w:val="left" w:pos="6804"/>
          <w:tab w:val="left" w:pos="7371"/>
        </w:tabs>
        <w:autoSpaceDE w:val="0"/>
        <w:autoSpaceDN w:val="0"/>
        <w:adjustRightInd w:val="0"/>
        <w:ind w:firstLine="708"/>
        <w:rPr>
          <w:rFonts w:ascii="Times New Roman" w:hAnsi="Times New Roman" w:cs="Times New Roman"/>
          <w:sz w:val="28"/>
          <w:szCs w:val="28"/>
        </w:rPr>
      </w:pPr>
      <w:r w:rsidRPr="008C2FF8">
        <w:rPr>
          <w:rStyle w:val="FontStyle18"/>
          <w:sz w:val="28"/>
          <w:szCs w:val="28"/>
        </w:rPr>
        <w:t>13. </w:t>
      </w:r>
      <w:r w:rsidRPr="008C2FF8">
        <w:rPr>
          <w:rFonts w:ascii="Times New Roman" w:hAnsi="Times New Roman" w:cs="Times New Roman"/>
          <w:bCs/>
          <w:sz w:val="28"/>
          <w:szCs w:val="28"/>
        </w:rPr>
        <w:t>Порядок формирования и использования резервов предстоящих расходов</w:t>
      </w:r>
    </w:p>
    <w:p w:rsidR="008C2FF8" w:rsidRPr="008C2FF8" w:rsidRDefault="008C2FF8" w:rsidP="008C2FF8">
      <w:pPr>
        <w:pStyle w:val="Style2"/>
        <w:widowControl/>
        <w:tabs>
          <w:tab w:val="left" w:pos="1426"/>
          <w:tab w:val="left" w:pos="6804"/>
          <w:tab w:val="left" w:pos="7371"/>
        </w:tabs>
        <w:spacing w:line="360" w:lineRule="auto"/>
        <w:ind w:firstLine="709"/>
        <w:jc w:val="both"/>
        <w:rPr>
          <w:rStyle w:val="FontStyle18"/>
          <w:sz w:val="28"/>
          <w:szCs w:val="28"/>
        </w:rPr>
      </w:pPr>
      <w:r w:rsidRPr="008C2FF8">
        <w:rPr>
          <w:rStyle w:val="FontStyle18"/>
          <w:sz w:val="28"/>
          <w:szCs w:val="28"/>
        </w:rPr>
        <w:t>14. Положение о служебных командировках работников.</w:t>
      </w:r>
    </w:p>
    <w:p w:rsidR="008C2FF8" w:rsidRPr="008C2FF8" w:rsidRDefault="008C2FF8" w:rsidP="008C2FF8">
      <w:pPr>
        <w:pStyle w:val="Style2"/>
        <w:widowControl/>
        <w:tabs>
          <w:tab w:val="left" w:pos="1426"/>
          <w:tab w:val="left" w:pos="6804"/>
          <w:tab w:val="left" w:pos="7371"/>
        </w:tabs>
        <w:spacing w:line="360" w:lineRule="auto"/>
        <w:ind w:firstLine="709"/>
        <w:jc w:val="both"/>
        <w:rPr>
          <w:rStyle w:val="FontStyle18"/>
          <w:sz w:val="28"/>
          <w:szCs w:val="28"/>
        </w:rPr>
      </w:pPr>
      <w:r w:rsidRPr="008C2FF8">
        <w:rPr>
          <w:rStyle w:val="FontStyle18"/>
          <w:sz w:val="28"/>
          <w:szCs w:val="28"/>
        </w:rPr>
        <w:t>15. График документооборота.</w:t>
      </w:r>
    </w:p>
    <w:sectPr w:rsidR="008C2FF8" w:rsidRPr="008C2FF8" w:rsidSect="00621BBF">
      <w:pgSz w:w="11906" w:h="16840"/>
      <w:pgMar w:top="1134" w:right="1133" w:bottom="144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E97"/>
    <w:multiLevelType w:val="hybridMultilevel"/>
    <w:tmpl w:val="5380BD4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28B1C39"/>
    <w:multiLevelType w:val="multilevel"/>
    <w:tmpl w:val="C310F89A"/>
    <w:lvl w:ilvl="0">
      <w:start w:val="15"/>
      <w:numFmt w:val="decimal"/>
      <w:lvlText w:val="%1."/>
      <w:lvlJc w:val="left"/>
      <w:pPr>
        <w:ind w:left="570" w:hanging="57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140713FE"/>
    <w:multiLevelType w:val="multilevel"/>
    <w:tmpl w:val="E8A458B4"/>
    <w:lvl w:ilvl="0">
      <w:start w:val="3"/>
      <w:numFmt w:val="decimal"/>
      <w:lvlText w:val="%1."/>
      <w:lvlJc w:val="left"/>
      <w:pPr>
        <w:ind w:left="450" w:hanging="450"/>
      </w:pPr>
      <w:rPr>
        <w:rFonts w:hint="default"/>
      </w:rPr>
    </w:lvl>
    <w:lvl w:ilvl="1">
      <w:start w:val="1"/>
      <w:numFmt w:val="decimal"/>
      <w:lvlText w:val="%1.%2."/>
      <w:lvlJc w:val="left"/>
      <w:pPr>
        <w:ind w:left="3272" w:hanging="72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FD2702"/>
    <w:multiLevelType w:val="multilevel"/>
    <w:tmpl w:val="4FEA5442"/>
    <w:lvl w:ilvl="0">
      <w:start w:val="3"/>
      <w:numFmt w:val="decimal"/>
      <w:lvlText w:val="%1"/>
      <w:lvlJc w:val="left"/>
      <w:pPr>
        <w:ind w:left="375" w:hanging="375"/>
      </w:pPr>
      <w:rPr>
        <w:rFonts w:hint="default"/>
      </w:rPr>
    </w:lvl>
    <w:lvl w:ilvl="1">
      <w:start w:val="5"/>
      <w:numFmt w:val="decimal"/>
      <w:lvlText w:val="%1.%2"/>
      <w:lvlJc w:val="left"/>
      <w:pPr>
        <w:ind w:left="1350" w:hanging="37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4" w15:restartNumberingAfterBreak="0">
    <w:nsid w:val="19917A39"/>
    <w:multiLevelType w:val="multilevel"/>
    <w:tmpl w:val="F03A9ED4"/>
    <w:lvl w:ilvl="0">
      <w:start w:val="1"/>
      <w:numFmt w:val="decimal"/>
      <w:lvlText w:val="%1."/>
      <w:lvlJc w:val="left"/>
      <w:pPr>
        <w:tabs>
          <w:tab w:val="num" w:pos="142"/>
        </w:tabs>
        <w:ind w:left="142" w:firstLine="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DC66794"/>
    <w:multiLevelType w:val="multilevel"/>
    <w:tmpl w:val="6D30592C"/>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303635A7"/>
    <w:multiLevelType w:val="multilevel"/>
    <w:tmpl w:val="25EE7FF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376A14DF"/>
    <w:multiLevelType w:val="hybridMultilevel"/>
    <w:tmpl w:val="E758DF1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9C203F6"/>
    <w:multiLevelType w:val="multilevel"/>
    <w:tmpl w:val="6116EB7A"/>
    <w:lvl w:ilvl="0">
      <w:start w:val="3"/>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9" w15:restartNumberingAfterBreak="0">
    <w:nsid w:val="420455CF"/>
    <w:multiLevelType w:val="hybridMultilevel"/>
    <w:tmpl w:val="71123B80"/>
    <w:lvl w:ilvl="0" w:tplc="572C9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4C5D39"/>
    <w:multiLevelType w:val="multilevel"/>
    <w:tmpl w:val="32160394"/>
    <w:lvl w:ilvl="0">
      <w:start w:val="3"/>
      <w:numFmt w:val="decimal"/>
      <w:lvlText w:val="%1"/>
      <w:lvlJc w:val="left"/>
      <w:pPr>
        <w:ind w:left="375" w:hanging="375"/>
      </w:pPr>
      <w:rPr>
        <w:rFonts w:hint="default"/>
      </w:rPr>
    </w:lvl>
    <w:lvl w:ilvl="1">
      <w:start w:val="2"/>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1" w15:restartNumberingAfterBreak="0">
    <w:nsid w:val="44E65C94"/>
    <w:multiLevelType w:val="multilevel"/>
    <w:tmpl w:val="9D32F9B4"/>
    <w:lvl w:ilvl="0">
      <w:start w:val="5"/>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b/>
      </w:rPr>
    </w:lvl>
    <w:lvl w:ilvl="2">
      <w:start w:val="1"/>
      <w:numFmt w:val="decimal"/>
      <w:lvlText w:val="%1.%2.%3."/>
      <w:lvlJc w:val="left"/>
      <w:pPr>
        <w:ind w:left="2422" w:hanging="720"/>
      </w:pPr>
      <w:rPr>
        <w:rFonts w:hint="default"/>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C1B5FEE"/>
    <w:multiLevelType w:val="multilevel"/>
    <w:tmpl w:val="EFF632CC"/>
    <w:lvl w:ilvl="0">
      <w:start w:val="5"/>
      <w:numFmt w:val="decimal"/>
      <w:lvlText w:val="%1."/>
      <w:lvlJc w:val="left"/>
      <w:pPr>
        <w:ind w:left="450" w:hanging="45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1FB4C6A"/>
    <w:multiLevelType w:val="multilevel"/>
    <w:tmpl w:val="6AFCDB62"/>
    <w:lvl w:ilvl="0">
      <w:start w:val="2"/>
      <w:numFmt w:val="decimal"/>
      <w:lvlText w:val="%1"/>
      <w:lvlJc w:val="left"/>
      <w:pPr>
        <w:ind w:left="375" w:hanging="375"/>
      </w:pPr>
      <w:rPr>
        <w:rFonts w:hint="default"/>
        <w:b/>
        <w:i/>
      </w:rPr>
    </w:lvl>
    <w:lvl w:ilvl="1">
      <w:start w:val="1"/>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4" w15:restartNumberingAfterBreak="0">
    <w:nsid w:val="62BA42D7"/>
    <w:multiLevelType w:val="hybridMultilevel"/>
    <w:tmpl w:val="D29C49DC"/>
    <w:lvl w:ilvl="0" w:tplc="A1EA3A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5D4BC9"/>
    <w:multiLevelType w:val="hybridMultilevel"/>
    <w:tmpl w:val="2450949C"/>
    <w:lvl w:ilvl="0" w:tplc="134EF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9685BDE"/>
    <w:multiLevelType w:val="hybridMultilevel"/>
    <w:tmpl w:val="33A2159A"/>
    <w:lvl w:ilvl="0" w:tplc="2166A65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6"/>
  </w:num>
  <w:num w:numId="5">
    <w:abstractNumId w:val="1"/>
  </w:num>
  <w:num w:numId="6">
    <w:abstractNumId w:val="2"/>
  </w:num>
  <w:num w:numId="7">
    <w:abstractNumId w:val="11"/>
  </w:num>
  <w:num w:numId="8">
    <w:abstractNumId w:val="8"/>
  </w:num>
  <w:num w:numId="9">
    <w:abstractNumId w:val="12"/>
  </w:num>
  <w:num w:numId="10">
    <w:abstractNumId w:val="9"/>
  </w:num>
  <w:num w:numId="11">
    <w:abstractNumId w:val="0"/>
  </w:num>
  <w:num w:numId="12">
    <w:abstractNumId w:val="14"/>
  </w:num>
  <w:num w:numId="13">
    <w:abstractNumId w:val="5"/>
  </w:num>
  <w:num w:numId="14">
    <w:abstractNumId w:val="10"/>
  </w:num>
  <w:num w:numId="15">
    <w:abstractNumId w:val="13"/>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36"/>
    <w:rsid w:val="000F46C0"/>
    <w:rsid w:val="001B5071"/>
    <w:rsid w:val="001C1B51"/>
    <w:rsid w:val="002F35E6"/>
    <w:rsid w:val="0033387B"/>
    <w:rsid w:val="003576F4"/>
    <w:rsid w:val="00483D36"/>
    <w:rsid w:val="004843DA"/>
    <w:rsid w:val="00621BBF"/>
    <w:rsid w:val="006435F8"/>
    <w:rsid w:val="006A17C4"/>
    <w:rsid w:val="007C778D"/>
    <w:rsid w:val="0083798A"/>
    <w:rsid w:val="008C2FF8"/>
    <w:rsid w:val="008E713A"/>
    <w:rsid w:val="00966BDA"/>
    <w:rsid w:val="0097148E"/>
    <w:rsid w:val="00987D76"/>
    <w:rsid w:val="009C7E7A"/>
    <w:rsid w:val="00A26A52"/>
    <w:rsid w:val="00A9555E"/>
    <w:rsid w:val="00B13BD2"/>
    <w:rsid w:val="00B16D03"/>
    <w:rsid w:val="00B8667F"/>
    <w:rsid w:val="00BF0B56"/>
    <w:rsid w:val="00C12C1B"/>
    <w:rsid w:val="00CE21B6"/>
    <w:rsid w:val="00DD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6231"/>
  <w15:chartTrackingRefBased/>
  <w15:docId w15:val="{6A80D293-3C8B-4F0C-9CD4-764B4EEA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2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D76"/>
    <w:pPr>
      <w:ind w:left="720"/>
      <w:contextualSpacing/>
    </w:pPr>
  </w:style>
  <w:style w:type="character" w:customStyle="1" w:styleId="FontStyle36">
    <w:name w:val="Font Style36"/>
    <w:rsid w:val="00987D76"/>
    <w:rPr>
      <w:rFonts w:ascii="Times New Roman" w:hAnsi="Times New Roman" w:cs="Times New Roman"/>
      <w:b/>
      <w:bCs/>
      <w:sz w:val="18"/>
      <w:szCs w:val="18"/>
    </w:rPr>
  </w:style>
  <w:style w:type="character" w:customStyle="1" w:styleId="FontStyle29">
    <w:name w:val="Font Style29"/>
    <w:rsid w:val="00987D76"/>
    <w:rPr>
      <w:rFonts w:ascii="Times New Roman" w:hAnsi="Times New Roman" w:cs="Times New Roman"/>
      <w:b/>
      <w:bCs/>
      <w:sz w:val="22"/>
      <w:szCs w:val="22"/>
    </w:rPr>
  </w:style>
  <w:style w:type="paragraph" w:styleId="2">
    <w:name w:val="Body Text 2"/>
    <w:basedOn w:val="a"/>
    <w:link w:val="20"/>
    <w:rsid w:val="001C1B51"/>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1C1B51"/>
    <w:rPr>
      <w:rFonts w:ascii="Times New Roman" w:eastAsia="Times New Roman" w:hAnsi="Times New Roman" w:cs="Times New Roman"/>
      <w:sz w:val="24"/>
      <w:szCs w:val="20"/>
      <w:lang w:eastAsia="ru-RU"/>
    </w:rPr>
  </w:style>
  <w:style w:type="paragraph" w:customStyle="1" w:styleId="Style12">
    <w:name w:val="Style12"/>
    <w:basedOn w:val="a"/>
    <w:rsid w:val="001C1B5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1C1B51"/>
    <w:rPr>
      <w:rFonts w:ascii="Times New Roman" w:hAnsi="Times New Roman" w:cs="Times New Roman"/>
      <w:b/>
      <w:bCs/>
      <w:sz w:val="22"/>
      <w:szCs w:val="22"/>
    </w:rPr>
  </w:style>
  <w:style w:type="paragraph" w:customStyle="1" w:styleId="Style2">
    <w:name w:val="Style2"/>
    <w:basedOn w:val="a"/>
    <w:rsid w:val="001C1B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1C1B51"/>
    <w:rPr>
      <w:rFonts w:ascii="Times New Roman" w:hAnsi="Times New Roman" w:cs="Times New Roman"/>
      <w:sz w:val="20"/>
      <w:szCs w:val="20"/>
    </w:rPr>
  </w:style>
  <w:style w:type="paragraph" w:styleId="a4">
    <w:name w:val="Body Text"/>
    <w:basedOn w:val="a"/>
    <w:link w:val="a5"/>
    <w:uiPriority w:val="99"/>
    <w:semiHidden/>
    <w:unhideWhenUsed/>
    <w:rsid w:val="00CE21B6"/>
    <w:pPr>
      <w:spacing w:after="120"/>
    </w:pPr>
  </w:style>
  <w:style w:type="character" w:customStyle="1" w:styleId="a5">
    <w:name w:val="Основной текст Знак"/>
    <w:basedOn w:val="a0"/>
    <w:link w:val="a4"/>
    <w:uiPriority w:val="99"/>
    <w:semiHidden/>
    <w:rsid w:val="00CE21B6"/>
  </w:style>
  <w:style w:type="paragraph" w:styleId="a6">
    <w:name w:val="No Spacing"/>
    <w:link w:val="a7"/>
    <w:uiPriority w:val="1"/>
    <w:qFormat/>
    <w:rsid w:val="006A17C4"/>
    <w:pPr>
      <w:spacing w:after="0" w:line="240" w:lineRule="auto"/>
    </w:pPr>
    <w:rPr>
      <w:rFonts w:ascii="Calibri" w:eastAsia="Calibri" w:hAnsi="Calibri" w:cs="Calibri"/>
    </w:rPr>
  </w:style>
  <w:style w:type="character" w:customStyle="1" w:styleId="a7">
    <w:name w:val="Без интервала Знак"/>
    <w:link w:val="a6"/>
    <w:uiPriority w:val="1"/>
    <w:rsid w:val="006A17C4"/>
    <w:rPr>
      <w:rFonts w:ascii="Calibri" w:eastAsia="Calibri" w:hAnsi="Calibri" w:cs="Calibri"/>
    </w:rPr>
  </w:style>
  <w:style w:type="character" w:customStyle="1" w:styleId="FontStyle32">
    <w:name w:val="Font Style32"/>
    <w:uiPriority w:val="99"/>
    <w:rsid w:val="001B5071"/>
    <w:rPr>
      <w:rFonts w:ascii="Times New Roman" w:hAnsi="Times New Roman" w:cs="Times New Roman"/>
      <w:sz w:val="18"/>
      <w:szCs w:val="18"/>
    </w:rPr>
  </w:style>
  <w:style w:type="character" w:customStyle="1" w:styleId="FontStyle20">
    <w:name w:val="Font Style20"/>
    <w:uiPriority w:val="99"/>
    <w:rsid w:val="000F46C0"/>
    <w:rPr>
      <w:rFonts w:ascii="Century Gothic" w:hAnsi="Century Gothic" w:cs="Century Gothic"/>
      <w:b/>
      <w:bCs/>
      <w:sz w:val="16"/>
      <w:szCs w:val="16"/>
    </w:rPr>
  </w:style>
  <w:style w:type="paragraph" w:customStyle="1" w:styleId="ConsNormal">
    <w:name w:val="ConsNormal"/>
    <w:rsid w:val="000F46C0"/>
    <w:pPr>
      <w:widowControl w:val="0"/>
      <w:spacing w:after="0" w:line="240" w:lineRule="auto"/>
      <w:ind w:firstLine="720"/>
    </w:pPr>
    <w:rPr>
      <w:rFonts w:ascii="Arial" w:eastAsia="Times New Roman" w:hAnsi="Arial" w:cs="Times New Roman"/>
      <w:snapToGrid w:val="0"/>
      <w:sz w:val="20"/>
      <w:szCs w:val="20"/>
      <w:lang w:eastAsia="ru-RU"/>
    </w:rPr>
  </w:style>
  <w:style w:type="paragraph" w:styleId="11">
    <w:name w:val="toc 1"/>
    <w:basedOn w:val="a"/>
    <w:next w:val="a"/>
    <w:autoRedefine/>
    <w:uiPriority w:val="39"/>
    <w:rsid w:val="000F46C0"/>
    <w:pPr>
      <w:tabs>
        <w:tab w:val="right" w:pos="8789"/>
      </w:tabs>
      <w:spacing w:before="360" w:after="0" w:line="240" w:lineRule="auto"/>
    </w:pPr>
    <w:rPr>
      <w:rFonts w:ascii="Times New Roman" w:eastAsia="Times New Roman" w:hAnsi="Times New Roman" w:cs="Times New Roman"/>
      <w:b/>
      <w:bCs/>
      <w:caps/>
      <w:noProof/>
      <w:snapToGrid w:val="0"/>
      <w:sz w:val="24"/>
      <w:szCs w:val="20"/>
      <w:lang w:eastAsia="ru-RU"/>
    </w:rPr>
  </w:style>
  <w:style w:type="character" w:customStyle="1" w:styleId="10">
    <w:name w:val="Заголовок 1 Знак"/>
    <w:basedOn w:val="a0"/>
    <w:link w:val="1"/>
    <w:uiPriority w:val="9"/>
    <w:rsid w:val="008C2FF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Клабукова</dc:creator>
  <cp:keywords/>
  <dc:description/>
  <cp:lastModifiedBy>Маликова Нина Анатольевна</cp:lastModifiedBy>
  <cp:revision>2</cp:revision>
  <cp:lastPrinted>2019-02-25T06:31:00Z</cp:lastPrinted>
  <dcterms:created xsi:type="dcterms:W3CDTF">2024-04-02T05:55:00Z</dcterms:created>
  <dcterms:modified xsi:type="dcterms:W3CDTF">2024-04-02T05:55:00Z</dcterms:modified>
</cp:coreProperties>
</file>